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2C998A33" w:rsidR="00FA0DFF" w:rsidRPr="0058350C" w:rsidRDefault="00FA0DFF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>COMMUNITY ORGANIZING (CORG)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Pr="00297EEA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48905F4A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7E57D96F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87E702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2A7DFB5" w14:textId="6A610E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D3DD55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82DE8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5FF621E1" w14:textId="77777777" w:rsidR="009F2821" w:rsidRPr="006D757C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6CDC051" w14:textId="67C3DCAF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205D30E3" w14:textId="7A6E236E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62E8" w:rsidRPr="00297EEA" w14:paraId="55C644F4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3625DC58" w14:textId="7777777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582E7A5" w14:textId="14824183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FD9050" w14:textId="08CA840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F963211" w14:textId="61580619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00B8A53" w14:textId="4AC1C913" w:rsidR="003462E8" w:rsidRPr="00297EEA" w:rsidRDefault="00D460E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387AC1" w:rsidRPr="00297EEA" w14:paraId="7FBA02AD" w14:textId="77777777" w:rsidTr="00804156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58350C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38D1EEFB" w:rsidR="00387AC1" w:rsidRPr="00B304C8" w:rsidRDefault="00804156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577F72D6" w:rsidR="00387AC1" w:rsidRDefault="006A7314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7BBEE7BA" w14:textId="77777777" w:rsidR="00A960F3" w:rsidRPr="00297EEA" w:rsidRDefault="00A960F3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2C275BC4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66356D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66356D" w:rsidRPr="00297EEA" w:rsidRDefault="0066356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23DC1ADB" w:rsidR="0066356D" w:rsidRPr="006D1EC8" w:rsidRDefault="00A72A9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CORG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47441FF5" w:rsidR="0066356D" w:rsidRPr="006D1EC8" w:rsidRDefault="00BC658A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Essential Theory &amp; Intervention Practice in CORG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4DFF16BA" w:rsidR="0066356D" w:rsidRPr="006D1EC8" w:rsidRDefault="00A72A9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83D7A13" w14:textId="77777777" w:rsidR="00AD4DBC" w:rsidRPr="006D1EC8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AC946B7" w14:textId="0980FCA7" w:rsidR="0066356D" w:rsidRPr="006D1EC8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66356D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3917897F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57029285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18BBD9CD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D78E1C6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BDB680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F0F25BD" w14:textId="799F4D02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327AA4F" w14:textId="163A15C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  <w:r w:rsidR="00C078D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3BD9310" w14:textId="75678B2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ABF71AE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393025A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9CA1A2C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95AE6BF" w14:textId="0DCF329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F530247" w14:textId="57CD9D33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E8B5647" w14:textId="5CAB320B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279BEA2" w14:textId="2F0DCE78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2503F430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ECA4328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07F416E" w14:textId="0C9931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CFDE205" w14:textId="240FE07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2D4911D" w14:textId="2EC357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FCFE153" w14:textId="5A6C617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0687C738" w14:textId="77777777" w:rsidTr="006A7314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66356D" w:rsidRPr="00B304C8" w:rsidRDefault="0066356D" w:rsidP="0066356D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00CD8DDB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9A2E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5394FFAA" w:rsidR="0066356D" w:rsidRDefault="00C64E2E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66356D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527696" w14:textId="156675B1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 xml:space="preserve"> 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519BBAEE" w:rsidR="009F2821" w:rsidRPr="006D1EC8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 53</w:t>
            </w:r>
            <w:r w:rsidR="002B3F90" w:rsidRPr="006D1EC8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9E0832F" w:rsidR="009F2821" w:rsidRPr="006D1EC8" w:rsidRDefault="00E33F0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Grassroots Organizing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CE267B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CE267B" w:rsidRPr="009D02DF" w:rsidRDefault="00CE267B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CE267B" w:rsidRPr="006D1EC8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CE267B" w:rsidRPr="006D1EC8" w:rsidRDefault="003563F6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Program Planning, Development &amp; Eval</w:t>
            </w:r>
            <w:r w:rsidR="00AB74DC" w:rsidRPr="006D1EC8">
              <w:rPr>
                <w:rFonts w:asciiTheme="majorHAnsi" w:hAnsiTheme="majorHAnsi" w:cstheme="majorHAnsi"/>
                <w:sz w:val="20"/>
                <w:szCs w:val="20"/>
              </w:rPr>
              <w:t>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CE267B" w:rsidRPr="006D1EC8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6EDF4D8" w14:textId="77777777" w:rsidR="00CE267B" w:rsidRPr="006D1EC8" w:rsidRDefault="00CE267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E398C21" w:rsidR="009F2821" w:rsidRPr="00820CFB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820CFB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820CFB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5EDF66C3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6AB2C71D" w14:textId="14B9CE44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CC1EA9F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63E6890" w14:textId="1664313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33E146F" w14:textId="3E493F74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FA2C209" w14:textId="07C117AD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72AB097" w14:textId="07368F0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06B5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169D939A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DD5D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4B09AA52" w:rsidR="00AE06B5" w:rsidRPr="00297EEA" w:rsidRDefault="00B866F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735788E7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77733235" w:rsidR="009F2821" w:rsidRPr="006D1EC8" w:rsidRDefault="00C654E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76307E35" w:rsidR="009F2821" w:rsidRPr="006D1EC8" w:rsidRDefault="00AB74D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3D7E89A8" w:rsidR="009F2821" w:rsidRPr="006D1EC8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6D1EC8">
              <w:rPr>
                <w:rFonts w:asciiTheme="majorHAnsi" w:hAnsiTheme="majorHAnsi" w:cstheme="majorHAnsi"/>
                <w:sz w:val="20"/>
                <w:szCs w:val="20"/>
              </w:rPr>
              <w:t xml:space="preserve">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EC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6D1EC8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7A3EA049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279E10A" w14:textId="43AFAB0A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F10486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31BCB4E" w14:textId="0F3C1578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C532595" w14:textId="012E3848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CD5B274" w14:textId="67821F27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5417F24" w14:textId="0D244AFE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18FB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D818FB" w:rsidRPr="00F92F5A" w:rsidRDefault="00D818FB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5B16611B" w:rsidR="00D818FB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36C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1E625EC8" w:rsidR="00D818FB" w:rsidRDefault="00636C2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2BF01255" w14:textId="23C57100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BEF3" w14:textId="77777777" w:rsidR="00B067E5" w:rsidRDefault="00B067E5" w:rsidP="00481D3D">
      <w:pPr>
        <w:spacing w:after="0" w:line="240" w:lineRule="auto"/>
      </w:pPr>
      <w:r>
        <w:separator/>
      </w:r>
    </w:p>
  </w:endnote>
  <w:endnote w:type="continuationSeparator" w:id="0">
    <w:p w14:paraId="595A157D" w14:textId="77777777" w:rsidR="00B067E5" w:rsidRDefault="00B067E5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AF46" w14:textId="77777777" w:rsidR="00B067E5" w:rsidRDefault="00B067E5" w:rsidP="00481D3D">
      <w:pPr>
        <w:spacing w:after="0" w:line="240" w:lineRule="auto"/>
      </w:pPr>
      <w:r>
        <w:separator/>
      </w:r>
    </w:p>
  </w:footnote>
  <w:footnote w:type="continuationSeparator" w:id="0">
    <w:p w14:paraId="133AA2DE" w14:textId="77777777" w:rsidR="00B067E5" w:rsidRDefault="00B067E5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C08CD"/>
    <w:rsid w:val="001D6FE1"/>
    <w:rsid w:val="001E0CE2"/>
    <w:rsid w:val="00202BE6"/>
    <w:rsid w:val="00205C37"/>
    <w:rsid w:val="00216F4F"/>
    <w:rsid w:val="00217747"/>
    <w:rsid w:val="00223AD5"/>
    <w:rsid w:val="00227CD0"/>
    <w:rsid w:val="00276BCD"/>
    <w:rsid w:val="002812E7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73958"/>
    <w:rsid w:val="003743DE"/>
    <w:rsid w:val="0037641D"/>
    <w:rsid w:val="00376632"/>
    <w:rsid w:val="00387AC1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4DD4"/>
    <w:rsid w:val="00545291"/>
    <w:rsid w:val="00547A1F"/>
    <w:rsid w:val="00553A44"/>
    <w:rsid w:val="005617D8"/>
    <w:rsid w:val="00563483"/>
    <w:rsid w:val="00567434"/>
    <w:rsid w:val="00571956"/>
    <w:rsid w:val="0057352D"/>
    <w:rsid w:val="005775A7"/>
    <w:rsid w:val="0058350C"/>
    <w:rsid w:val="00591B2B"/>
    <w:rsid w:val="005971CD"/>
    <w:rsid w:val="005C4E38"/>
    <w:rsid w:val="005D1B37"/>
    <w:rsid w:val="005D59CA"/>
    <w:rsid w:val="005E3A49"/>
    <w:rsid w:val="00600774"/>
    <w:rsid w:val="00606BCD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6356D"/>
    <w:rsid w:val="0067564A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1EC8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E0488"/>
    <w:rsid w:val="007F65D2"/>
    <w:rsid w:val="00804156"/>
    <w:rsid w:val="00820CFB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7640F"/>
    <w:rsid w:val="00876819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25749"/>
    <w:rsid w:val="00934E08"/>
    <w:rsid w:val="00961896"/>
    <w:rsid w:val="00975BF8"/>
    <w:rsid w:val="00984EBD"/>
    <w:rsid w:val="00990B16"/>
    <w:rsid w:val="009A20CE"/>
    <w:rsid w:val="009A269A"/>
    <w:rsid w:val="009A2E19"/>
    <w:rsid w:val="009A6989"/>
    <w:rsid w:val="009A76DE"/>
    <w:rsid w:val="009B1CFA"/>
    <w:rsid w:val="009B555D"/>
    <w:rsid w:val="009C368D"/>
    <w:rsid w:val="009D02DF"/>
    <w:rsid w:val="009D45A9"/>
    <w:rsid w:val="009F2821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90DFC"/>
    <w:rsid w:val="00A960F3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C51"/>
    <w:rsid w:val="00AE745D"/>
    <w:rsid w:val="00AF495D"/>
    <w:rsid w:val="00B05E51"/>
    <w:rsid w:val="00B067E5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078D1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5EFA"/>
    <w:rsid w:val="00D818FB"/>
    <w:rsid w:val="00D9029C"/>
    <w:rsid w:val="00D9109A"/>
    <w:rsid w:val="00D9214A"/>
    <w:rsid w:val="00DA3182"/>
    <w:rsid w:val="00DA3B13"/>
    <w:rsid w:val="00DB49B7"/>
    <w:rsid w:val="00DC1C32"/>
    <w:rsid w:val="00DD5D7F"/>
    <w:rsid w:val="00DD7AF1"/>
    <w:rsid w:val="00DF079B"/>
    <w:rsid w:val="00E111BD"/>
    <w:rsid w:val="00E2033A"/>
    <w:rsid w:val="00E25A58"/>
    <w:rsid w:val="00E30810"/>
    <w:rsid w:val="00E33F00"/>
    <w:rsid w:val="00E44756"/>
    <w:rsid w:val="00E5189A"/>
    <w:rsid w:val="00E565C1"/>
    <w:rsid w:val="00E603C7"/>
    <w:rsid w:val="00E62C39"/>
    <w:rsid w:val="00E71F17"/>
    <w:rsid w:val="00E720B0"/>
    <w:rsid w:val="00E807B2"/>
    <w:rsid w:val="00E90303"/>
    <w:rsid w:val="00E90EF8"/>
    <w:rsid w:val="00EA732B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499E"/>
    <w:rsid w:val="00F25EB2"/>
    <w:rsid w:val="00F30DF1"/>
    <w:rsid w:val="00F5411F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29</cp:revision>
  <cp:lastPrinted>2025-01-14T20:35:00Z</cp:lastPrinted>
  <dcterms:created xsi:type="dcterms:W3CDTF">2025-01-15T19:58:00Z</dcterms:created>
  <dcterms:modified xsi:type="dcterms:W3CDTF">2025-05-21T15:09:00Z</dcterms:modified>
</cp:coreProperties>
</file>